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D475" w14:textId="77777777" w:rsidR="00D776C9" w:rsidRPr="00F94A03" w:rsidRDefault="00D776C9" w:rsidP="00D776C9">
      <w:pPr>
        <w:pStyle w:val="Normaalweb"/>
        <w:spacing w:before="0" w:beforeAutospacing="0" w:after="0" w:afterAutospacing="0"/>
        <w:rPr>
          <w:rFonts w:ascii="Helvetica" w:hAnsi="Helvetica" w:cs="Helvetica"/>
          <w:b/>
          <w:bCs/>
        </w:rPr>
      </w:pPr>
      <w:r w:rsidRPr="00F94A03">
        <w:rPr>
          <w:rFonts w:ascii="Helvetica" w:hAnsi="Helvetica" w:cs="Helvetica"/>
          <w:b/>
          <w:bCs/>
        </w:rPr>
        <w:t>Vragen van het lid Nijboer (PvdA) aan de minister van Financiën over het bericht dat nog altijd flitskredieten tegen torenhoge kosten worden aangeboden.</w:t>
      </w:r>
    </w:p>
    <w:p w14:paraId="4F256AA7" w14:textId="77777777" w:rsidR="00D776C9" w:rsidRPr="00D776C9" w:rsidRDefault="00D776C9" w:rsidP="00D776C9">
      <w:pPr>
        <w:pStyle w:val="Normaalweb"/>
        <w:spacing w:before="0" w:beforeAutospacing="0" w:after="0" w:afterAutospacing="0"/>
        <w:rPr>
          <w:rFonts w:ascii="Helvetica" w:hAnsi="Helvetica" w:cs="Helvetica"/>
        </w:rPr>
      </w:pPr>
    </w:p>
    <w:p w14:paraId="6979583D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Bent u bekend met de uitzending van Kassa over het bedrijf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 xml:space="preserve"> dat flitskredieten tegen torenhoge kosten aanbiedt?</w:t>
      </w:r>
      <w:r>
        <w:rPr>
          <w:rStyle w:val="Voetnootmarkering"/>
          <w:rFonts w:ascii="Helvetica" w:eastAsia="Times New Roman" w:hAnsi="Helvetica" w:cs="Helvetica"/>
        </w:rPr>
        <w:footnoteReference w:id="1"/>
      </w:r>
    </w:p>
    <w:p w14:paraId="3FD0CC5C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Rente en alle bijkomende kosten behoren toch te worden gedekt binnen het wettelijk maximum? Hoe kan het dat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 xml:space="preserve"> stelselmatig de wet overtreedt? </w:t>
      </w:r>
    </w:p>
    <w:p w14:paraId="483CC747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Waarom is er door de AFM niet opgetreden? Deelt u de mening dat elke dag weer nieuwe -ook kwetsbare- consumenten de dupe worden van deze illegale activiteiten?</w:t>
      </w:r>
    </w:p>
    <w:p w14:paraId="5EB5D12C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Onder welke omstandigheden mogen kredietverstrekkers boetes opleggen? In het item wordt door de AFM gesteld dat de rentekosten maximaal 10% m</w:t>
      </w:r>
      <w:r>
        <w:rPr>
          <w:rFonts w:ascii="Helvetica" w:eastAsia="Times New Roman" w:hAnsi="Helvetica" w:cs="Helvetica"/>
        </w:rPr>
        <w:t>ogen</w:t>
      </w:r>
      <w:r w:rsidRPr="00D776C9">
        <w:rPr>
          <w:rFonts w:ascii="Helvetica" w:eastAsia="Times New Roman" w:hAnsi="Helvetica" w:cs="Helvetica"/>
        </w:rPr>
        <w:t xml:space="preserve"> bedragen bij het ontbreken van een garantstelling indien een garantstelling onderdeel uitmaakt van de leenovereenkomst; klopt dit? </w:t>
      </w:r>
    </w:p>
    <w:p w14:paraId="002671C9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Kent u de uitspraak van de </w:t>
      </w:r>
      <w:r>
        <w:rPr>
          <w:rFonts w:ascii="Helvetica" w:eastAsia="Times New Roman" w:hAnsi="Helvetica" w:cs="Helvetica"/>
        </w:rPr>
        <w:t>rechtbank Rotterdam in 2018 waar glashelder wordt gesteld dat garantieovereenkomsten en de bijbehorende kosten onder het wettelijk maximale tarief vallen?</w:t>
      </w:r>
      <w:r>
        <w:rPr>
          <w:rStyle w:val="Voetnootmarkering"/>
          <w:rFonts w:ascii="Helvetica" w:eastAsia="Times New Roman" w:hAnsi="Helvetica" w:cs="Helvetica"/>
        </w:rPr>
        <w:footnoteReference w:id="2"/>
      </w:r>
    </w:p>
    <w:p w14:paraId="21FA6DE2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Wat vindt u ervan dat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 xml:space="preserve"> o.a. via </w:t>
      </w:r>
      <w:hyperlink r:id="rId8" w:history="1">
        <w:r w:rsidRPr="00D776C9">
          <w:rPr>
            <w:rStyle w:val="Hyperlink"/>
            <w:rFonts w:ascii="Helvetica" w:eastAsia="Times New Roman" w:hAnsi="Helvetica" w:cs="Helvetica"/>
          </w:rPr>
          <w:t>saldodipje.nl</w:t>
        </w:r>
      </w:hyperlink>
      <w:r w:rsidRPr="00D776C9">
        <w:rPr>
          <w:rFonts w:ascii="Helvetica" w:eastAsia="Times New Roman" w:hAnsi="Helvetica" w:cs="Helvetica"/>
        </w:rPr>
        <w:t xml:space="preserve"> door middel van een boetesysteem de kosten voor een lening probeert op te drijven?</w:t>
      </w:r>
    </w:p>
    <w:p w14:paraId="1F563F69" w14:textId="77777777" w:rsid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Hoe kan het dat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 xml:space="preserve"> zich nog altijd van dit soort praktijken kan bedienen, terwijl de AFM hier al sinds 2011 mee bezig is</w:t>
      </w:r>
      <w:r>
        <w:rPr>
          <w:rFonts w:ascii="Helvetica" w:eastAsia="Times New Roman" w:hAnsi="Helvetica" w:cs="Helvetica"/>
        </w:rPr>
        <w:t xml:space="preserve"> en het bedrijf eerder beboette?</w:t>
      </w:r>
    </w:p>
    <w:p w14:paraId="4ACB5D7C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Bent u bereid met de AFM in contact te treden om zo snel mogelijk op te treden tegen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>?</w:t>
      </w:r>
    </w:p>
    <w:p w14:paraId="76CE3CAE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Zijn de praktijken van </w:t>
      </w:r>
      <w:proofErr w:type="spellStart"/>
      <w:r w:rsidRPr="00D776C9">
        <w:rPr>
          <w:rFonts w:ascii="Helvetica" w:eastAsia="Times New Roman" w:hAnsi="Helvetica" w:cs="Helvetica"/>
        </w:rPr>
        <w:t>Ferratum</w:t>
      </w:r>
      <w:proofErr w:type="spellEnd"/>
      <w:r w:rsidRPr="00D776C9">
        <w:rPr>
          <w:rFonts w:ascii="Helvetica" w:eastAsia="Times New Roman" w:hAnsi="Helvetica" w:cs="Helvetica"/>
        </w:rPr>
        <w:t xml:space="preserve"> strafbaar? Bent u bereid het OM te verzoeken te onderzoeken of er strafbare feiten zijn gepleegd? </w:t>
      </w:r>
    </w:p>
    <w:p w14:paraId="60FAC8DC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 xml:space="preserve">Deelt u de mening dat witteboordencriminelen voor het gerecht gebracht moeten worden? Deelt u de mening dat het oplichten van mensen die op korte termijn geld nodig hebben strafbaar is? Zo ja, wordt </w:t>
      </w:r>
      <w:proofErr w:type="spellStart"/>
      <w:r w:rsidRPr="00D776C9">
        <w:rPr>
          <w:rFonts w:ascii="Helvetica" w:eastAsia="Times New Roman" w:hAnsi="Helvetica" w:cs="Helvetica"/>
        </w:rPr>
        <w:t>wordt</w:t>
      </w:r>
      <w:proofErr w:type="spellEnd"/>
      <w:r w:rsidRPr="00D776C9">
        <w:rPr>
          <w:rFonts w:ascii="Helvetica" w:eastAsia="Times New Roman" w:hAnsi="Helvetica" w:cs="Helvetica"/>
        </w:rPr>
        <w:t xml:space="preserve"> hierop gehandhaafd? Zo nee, waarom niet?</w:t>
      </w:r>
    </w:p>
    <w:p w14:paraId="0FF87E43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Hoe kan het dat </w:t>
      </w:r>
      <w:proofErr w:type="spellStart"/>
      <w:r>
        <w:rPr>
          <w:rFonts w:ascii="Helvetica" w:eastAsia="Times New Roman" w:hAnsi="Helvetica" w:cs="Helvetica"/>
        </w:rPr>
        <w:t>Ferratum</w:t>
      </w:r>
      <w:proofErr w:type="spellEnd"/>
      <w:r>
        <w:rPr>
          <w:rFonts w:ascii="Helvetica" w:eastAsia="Times New Roman" w:hAnsi="Helvetica" w:cs="Helvetica"/>
        </w:rPr>
        <w:t xml:space="preserve"> in Nederland </w:t>
      </w:r>
      <w:r w:rsidRPr="00D776C9">
        <w:rPr>
          <w:rFonts w:ascii="Helvetica" w:eastAsia="Times New Roman" w:hAnsi="Helvetica" w:cs="Helvetica"/>
        </w:rPr>
        <w:t>actief is zonder vergunning? Hoe kan het dat een bedrijf dat bekend staat om</w:t>
      </w:r>
      <w:r>
        <w:rPr>
          <w:rFonts w:ascii="Helvetica" w:eastAsia="Times New Roman" w:hAnsi="Helvetica" w:cs="Helvetica"/>
        </w:rPr>
        <w:t xml:space="preserve"> het overtreden van wetten</w:t>
      </w:r>
      <w:r w:rsidRPr="00D776C9">
        <w:rPr>
          <w:rFonts w:ascii="Helvetica" w:eastAsia="Times New Roman" w:hAnsi="Helvetica" w:cs="Helvetica"/>
        </w:rPr>
        <w:t>, telkens weer de dans ontspringt door steeds van vestigingsplaats te wisselen? Welke mogelijkheden ziet u om dit probleem voor eens en altijd op te lossen?</w:t>
      </w:r>
    </w:p>
    <w:p w14:paraId="4B1077C0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De consumentenbescherming geldt toch voor alle Nederlandse ingezetenen, hoe kan het dan dat dit nog altijd voorkomt?</w:t>
      </w:r>
    </w:p>
    <w:p w14:paraId="51CEEF6B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Bent u bekend met andere aanbieders van krediet die nog altijd te hoge kosten in rekening brengen?</w:t>
      </w:r>
    </w:p>
    <w:p w14:paraId="0AC3C094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Bent u bijvoorbeeld bekend met de Amsterdam Stadsbank van Lening, die 1,25% per maand berekent?</w:t>
      </w:r>
      <w:r>
        <w:rPr>
          <w:rStyle w:val="Voetnootmarkering"/>
          <w:rFonts w:ascii="Helvetica" w:eastAsia="Times New Roman" w:hAnsi="Helvetica" w:cs="Helvetica"/>
        </w:rPr>
        <w:footnoteReference w:id="3"/>
      </w:r>
      <w:r w:rsidRPr="00D776C9">
        <w:rPr>
          <w:rFonts w:ascii="Helvetica" w:eastAsia="Times New Roman" w:hAnsi="Helvetica" w:cs="Helvetica"/>
        </w:rPr>
        <w:t xml:space="preserve"> Zijn er meer gemeentelijke kredietbanken die hogere percentages dan het toegestane wettelijk maximum in rekening brengen? </w:t>
      </w:r>
    </w:p>
    <w:p w14:paraId="5D5190EB" w14:textId="77777777" w:rsidR="00D776C9" w:rsidRPr="00D776C9" w:rsidRDefault="00D776C9" w:rsidP="00D776C9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D776C9">
        <w:rPr>
          <w:rFonts w:ascii="Helvetica" w:eastAsia="Times New Roman" w:hAnsi="Helvetica" w:cs="Helvetica"/>
        </w:rPr>
        <w:t>Hoe is het mogelijk dat zelfs gemeentelijke kredietbanken de wettelijke consumentenbescherming niet respecteren? Bent u bereid onmiddellijk op te treden?</w:t>
      </w:r>
    </w:p>
    <w:p w14:paraId="62E27D6A" w14:textId="737561EF" w:rsidR="008075D8" w:rsidRPr="00D776C9" w:rsidRDefault="00D776C9" w:rsidP="007E1680">
      <w:pPr>
        <w:numPr>
          <w:ilvl w:val="0"/>
          <w:numId w:val="1"/>
        </w:numPr>
      </w:pPr>
      <w:r w:rsidRPr="00F94A03">
        <w:rPr>
          <w:rFonts w:ascii="Helvetica" w:eastAsia="Times New Roman" w:hAnsi="Helvetica" w:cs="Helvetica"/>
        </w:rPr>
        <w:t>Hoe gaat u ervoor zorgen dat alle aanbieders in Nederland de kosten beperken tot maximaal 10% per jaar</w:t>
      </w:r>
    </w:p>
    <w:sectPr w:rsidR="008075D8" w:rsidRPr="00D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9846" w14:textId="77777777" w:rsidR="00D776C9" w:rsidRDefault="00D776C9" w:rsidP="00D776C9">
      <w:r>
        <w:separator/>
      </w:r>
    </w:p>
  </w:endnote>
  <w:endnote w:type="continuationSeparator" w:id="0">
    <w:p w14:paraId="5DE7AD8A" w14:textId="77777777" w:rsidR="00D776C9" w:rsidRDefault="00D776C9" w:rsidP="00D7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8443" w14:textId="77777777" w:rsidR="00D776C9" w:rsidRDefault="00D776C9" w:rsidP="00D776C9">
      <w:r>
        <w:separator/>
      </w:r>
    </w:p>
  </w:footnote>
  <w:footnote w:type="continuationSeparator" w:id="0">
    <w:p w14:paraId="4AB1E90A" w14:textId="77777777" w:rsidR="00D776C9" w:rsidRDefault="00D776C9" w:rsidP="00D776C9">
      <w:r>
        <w:continuationSeparator/>
      </w:r>
    </w:p>
  </w:footnote>
  <w:footnote w:id="1">
    <w:p w14:paraId="2645F149" w14:textId="77777777" w:rsidR="00D776C9" w:rsidRDefault="00D776C9">
      <w:pPr>
        <w:pStyle w:val="Voetnoottekst"/>
      </w:pPr>
      <w:r>
        <w:rPr>
          <w:rStyle w:val="Voetnootmarkering"/>
        </w:rPr>
        <w:footnoteRef/>
      </w:r>
      <w:r>
        <w:t xml:space="preserve"> Kassa, 6 februari 2021</w:t>
      </w:r>
    </w:p>
  </w:footnote>
  <w:footnote w:id="2">
    <w:p w14:paraId="64465063" w14:textId="77777777" w:rsidR="00D776C9" w:rsidRDefault="00D776C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ECLI:NL:RBROT:2018:5661, Rechtbank Rotterdam, 6568798 \ CV EXPL 18-986 (rechtspraak.nl)</w:t>
        </w:r>
      </w:hyperlink>
    </w:p>
  </w:footnote>
  <w:footnote w:id="3">
    <w:p w14:paraId="7886E21E" w14:textId="78022AA5" w:rsidR="00D776C9" w:rsidRDefault="00D776C9">
      <w:pPr>
        <w:pStyle w:val="Voetnoottekst"/>
      </w:pPr>
      <w:r>
        <w:rPr>
          <w:rStyle w:val="Voetnootmarkering"/>
        </w:rPr>
        <w:footnoteRef/>
      </w:r>
      <w:r>
        <w:t xml:space="preserve">  </w:t>
      </w:r>
      <w:hyperlink r:id="rId2" w:history="1">
        <w:r>
          <w:rPr>
            <w:rStyle w:val="Hyperlink"/>
          </w:rPr>
          <w:t>Bereken de beleenvergoeding - Stadsbank van Lening (amsterdam.nl)</w:t>
        </w:r>
      </w:hyperlink>
      <w:r w:rsidR="00F94A03">
        <w:rPr>
          <w:rStyle w:val="Hyperlin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B14FE"/>
    <w:multiLevelType w:val="multilevel"/>
    <w:tmpl w:val="2494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C9"/>
    <w:rsid w:val="000E4790"/>
    <w:rsid w:val="005636E5"/>
    <w:rsid w:val="00D776C9"/>
    <w:rsid w:val="00F01A81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D9B"/>
  <w15:chartTrackingRefBased/>
  <w15:docId w15:val="{09B9B028-02F5-447C-A3CD-831AAD9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6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776C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776C9"/>
    <w:pPr>
      <w:spacing w:before="100" w:beforeAutospacing="1" w:after="100" w:afterAutospacing="1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76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76C9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7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dodipj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sterdam.nl/sbl/bereken/" TargetMode="External"/><Relationship Id="rId1" Type="http://schemas.openxmlformats.org/officeDocument/2006/relationships/hyperlink" Target="https://uitspraken.rechtspraak.nl/inziendocument?id=ECLI:NL:RBROT:2018:5661&amp;showbutton=true&amp;keyword=flitskredi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8424-907B-4EFC-A167-D134C95A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Nijboer, H.</dc:creator>
  <cp:keywords/>
  <dc:description/>
  <cp:lastModifiedBy>Frank Goselink</cp:lastModifiedBy>
  <cp:revision>2</cp:revision>
  <dcterms:created xsi:type="dcterms:W3CDTF">2021-02-11T14:19:00Z</dcterms:created>
  <dcterms:modified xsi:type="dcterms:W3CDTF">2021-02-11T16:06:00Z</dcterms:modified>
</cp:coreProperties>
</file>